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C0533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C0533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C0533">
        <w:rPr>
          <w:rFonts w:ascii="Arial" w:hAnsi="Arial" w:cs="Arial"/>
          <w:sz w:val="24"/>
          <w:szCs w:val="24"/>
        </w:rPr>
        <w:t>2</w:t>
      </w:r>
      <w:r w:rsidR="00550A41">
        <w:rPr>
          <w:rFonts w:ascii="Arial" w:hAnsi="Arial" w:cs="Arial"/>
          <w:sz w:val="24"/>
          <w:szCs w:val="24"/>
        </w:rPr>
        <w:t>40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550A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550A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C0533">
        <w:rPr>
          <w:b/>
          <w:bCs/>
          <w:sz w:val="32"/>
          <w:szCs w:val="32"/>
        </w:rPr>
        <w:t>2</w:t>
      </w:r>
      <w:r w:rsidR="00550A41">
        <w:rPr>
          <w:b/>
          <w:bCs/>
          <w:sz w:val="32"/>
          <w:szCs w:val="32"/>
        </w:rPr>
        <w:t>40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550A41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550A41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50A4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50A41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550A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550A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50A41">
        <w:rPr>
          <w:rFonts w:ascii="Arial" w:hAnsi="Arial" w:cs="Arial"/>
          <w:sz w:val="24"/>
          <w:szCs w:val="24"/>
        </w:rPr>
        <w:tab/>
      </w:r>
      <w:r w:rsidRPr="00550A41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suplementar, até o limite de R$ 500.545,98 (quinhentos mil, quinhentos e quarenta e cinco reais e noventa e oito centavos), para atender às despesas da desapropriação total dos imóveis (I) lote 10 – quadra 34 – matrícula nº 139.391 do 1º CRI de Araraquara; (II) lote 11 – quadra 34 – matrícula nº 139.389 do 1º CRI de Araraquara; e (III) lote 12 – quadra 34 – matrícula nº 139.390 do 1º CRI de Araraquara, localizados na Rua Tenente Joaquim Nunes Cabral, necessários para instalação de equipamento comunitário do Programa Estratégia Saúde da Família – ESP, conforme demonstrativo abaixo: </w:t>
      </w: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50A41" w:rsidRPr="00550A41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50A41" w:rsidRPr="00550A41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550A41" w:rsidRPr="00550A41" w:rsidTr="00AA34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50A41" w:rsidRPr="00550A41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50A41" w:rsidRPr="00550A41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26.782.065.1.073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550A41" w:rsidRPr="00550A41" w:rsidTr="00AA347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50A41" w:rsidRPr="00550A41" w:rsidTr="00AA34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50A41">
        <w:rPr>
          <w:rFonts w:ascii="Arial" w:hAnsi="Arial" w:cs="Arial"/>
          <w:sz w:val="24"/>
          <w:szCs w:val="24"/>
        </w:rPr>
        <w:tab/>
      </w:r>
      <w:r w:rsidRPr="00550A41">
        <w:rPr>
          <w:rFonts w:ascii="Arial" w:hAnsi="Arial" w:cs="Arial"/>
          <w:sz w:val="24"/>
          <w:szCs w:val="24"/>
        </w:rPr>
        <w:tab/>
        <w:t>Art. 2º O crédito autorizado no art. 1º será coberto com recursos orçamentários, provenientes de anulação parcial da dotação abaixo e especificada:</w:t>
      </w: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550A41" w:rsidRPr="00550A41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50A41" w:rsidRPr="00550A41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550A41" w:rsidRPr="00550A41" w:rsidTr="00AA34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50A41" w:rsidRPr="00550A41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50A41" w:rsidRPr="00550A41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15.452.072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15.452.072.2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15.452.072.2.017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550A41" w:rsidRPr="00550A41" w:rsidTr="00AA347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50A41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50A41" w:rsidRPr="00550A41" w:rsidTr="00AA34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550A41" w:rsidRPr="00550A41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41" w:rsidRPr="00550A41" w:rsidRDefault="00550A41" w:rsidP="00550A4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A41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50A41">
        <w:rPr>
          <w:rFonts w:ascii="Arial" w:hAnsi="Arial" w:cs="Arial"/>
          <w:sz w:val="24"/>
          <w:szCs w:val="24"/>
        </w:rPr>
        <w:tab/>
      </w:r>
      <w:r w:rsidRPr="00550A41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50A41">
        <w:rPr>
          <w:rFonts w:ascii="Arial" w:hAnsi="Arial" w:cs="Arial"/>
          <w:sz w:val="24"/>
          <w:szCs w:val="24"/>
        </w:rPr>
        <w:tab/>
      </w:r>
      <w:r w:rsidRPr="00550A41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50A41" w:rsidRPr="00550A41" w:rsidRDefault="00550A41" w:rsidP="00550A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50A41">
        <w:rPr>
          <w:rFonts w:ascii="Arial" w:hAnsi="Arial" w:cs="Arial"/>
          <w:sz w:val="24"/>
          <w:szCs w:val="24"/>
        </w:rPr>
        <w:t>Art. 5º Revoga-se a Lei nº 9.352, de 29 de agosto de 2018.</w:t>
      </w:r>
    </w:p>
    <w:p w:rsidR="008B13B9" w:rsidRPr="00550A41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550A41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550A41" w:rsidRPr="00550A41" w:rsidRDefault="00550A41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550A41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550A41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550A41" w:rsidRPr="00550A41" w:rsidRDefault="00550A41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4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F7F59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50A41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C0533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2018-09-11T15:02:00Z</dcterms:modified>
</cp:coreProperties>
</file>