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96E6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96E64">
        <w:rPr>
          <w:rFonts w:ascii="Tahoma" w:hAnsi="Tahoma" w:cs="Tahoma"/>
          <w:b/>
          <w:sz w:val="32"/>
          <w:szCs w:val="32"/>
          <w:u w:val="single"/>
        </w:rPr>
        <w:t>051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B44CC">
        <w:rPr>
          <w:rFonts w:ascii="Tahoma" w:hAnsi="Tahoma" w:cs="Tahoma"/>
          <w:b/>
          <w:sz w:val="32"/>
          <w:szCs w:val="32"/>
          <w:u w:val="single"/>
        </w:rPr>
        <w:t>054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9B44CC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5A56CA" w:rsidRPr="009B44CC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3A3A7C" w:rsidRPr="003A3A7C" w:rsidRDefault="009B44C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B44CC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9B44C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877F8D" w:rsidRPr="009B44CC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9B44CC" w:rsidRPr="009B44CC" w:rsidRDefault="009B44CC" w:rsidP="009B44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B44CC">
        <w:rPr>
          <w:rFonts w:ascii="Calibri" w:hAnsi="Calibri" w:cs="Calibri"/>
          <w:sz w:val="24"/>
          <w:szCs w:val="24"/>
        </w:rPr>
        <w:t>Art. 1º Fica o Poder Executivo autorizado a abrir um Crédito Adicional Especial</w:t>
      </w:r>
      <w:r>
        <w:rPr>
          <w:rFonts w:ascii="Calibri" w:hAnsi="Calibri" w:cs="Calibri"/>
          <w:sz w:val="24"/>
          <w:szCs w:val="24"/>
        </w:rPr>
        <w:t>,</w:t>
      </w:r>
      <w:r w:rsidRPr="009B44CC">
        <w:rPr>
          <w:rFonts w:ascii="Calibri" w:hAnsi="Calibri" w:cs="Calibri"/>
          <w:sz w:val="24"/>
          <w:szCs w:val="24"/>
        </w:rPr>
        <w:t xml:space="preserve"> no valor de R$ 210.387,06 (duzentos e dez mil, trezentos e oitenta e sete reais e seis centavos), para atender a execução de 5.094,60 m² de recapeamento asfáltico tipo CBUQ (concreto betuminoso usinado a quente), com espessura de 4,0 cm, na Rua Napoleão </w:t>
      </w:r>
      <w:proofErr w:type="spellStart"/>
      <w:r w:rsidRPr="009B44CC">
        <w:rPr>
          <w:rFonts w:ascii="Calibri" w:hAnsi="Calibri" w:cs="Calibri"/>
          <w:sz w:val="24"/>
          <w:szCs w:val="24"/>
        </w:rPr>
        <w:t>Se</w:t>
      </w:r>
      <w:r>
        <w:rPr>
          <w:rFonts w:ascii="Calibri" w:hAnsi="Calibri" w:cs="Calibri"/>
          <w:sz w:val="24"/>
          <w:szCs w:val="24"/>
        </w:rPr>
        <w:t>l</w:t>
      </w:r>
      <w:r w:rsidRPr="009B44CC">
        <w:rPr>
          <w:rFonts w:ascii="Calibri" w:hAnsi="Calibri" w:cs="Calibri"/>
          <w:sz w:val="24"/>
          <w:szCs w:val="24"/>
        </w:rPr>
        <w:t>mi</w:t>
      </w:r>
      <w:proofErr w:type="spellEnd"/>
      <w:r w:rsidRPr="009B44CC">
        <w:rPr>
          <w:rFonts w:ascii="Calibri" w:hAnsi="Calibri" w:cs="Calibri"/>
          <w:sz w:val="24"/>
          <w:szCs w:val="24"/>
        </w:rPr>
        <w:t xml:space="preserve"> Dei, entre </w:t>
      </w:r>
      <w:r>
        <w:rPr>
          <w:rFonts w:ascii="Calibri" w:hAnsi="Calibri" w:cs="Calibri"/>
          <w:sz w:val="24"/>
          <w:szCs w:val="24"/>
        </w:rPr>
        <w:t xml:space="preserve">a </w:t>
      </w:r>
      <w:r w:rsidRPr="009B44CC">
        <w:rPr>
          <w:rFonts w:ascii="Calibri" w:hAnsi="Calibri" w:cs="Calibri"/>
          <w:sz w:val="24"/>
          <w:szCs w:val="24"/>
        </w:rPr>
        <w:t xml:space="preserve">rotatória da represa de Captação e </w:t>
      </w:r>
      <w:r>
        <w:rPr>
          <w:rFonts w:ascii="Calibri" w:hAnsi="Calibri" w:cs="Calibri"/>
          <w:sz w:val="24"/>
          <w:szCs w:val="24"/>
        </w:rPr>
        <w:t xml:space="preserve">a </w:t>
      </w:r>
      <w:r w:rsidRPr="009B44CC">
        <w:rPr>
          <w:rFonts w:ascii="Calibri" w:hAnsi="Calibri" w:cs="Calibri"/>
          <w:sz w:val="24"/>
          <w:szCs w:val="24"/>
        </w:rPr>
        <w:t xml:space="preserve">Av. </w:t>
      </w:r>
      <w:proofErr w:type="spellStart"/>
      <w:r w:rsidRPr="009B44CC">
        <w:rPr>
          <w:rFonts w:ascii="Calibri" w:hAnsi="Calibri" w:cs="Calibri"/>
          <w:sz w:val="24"/>
          <w:szCs w:val="24"/>
        </w:rPr>
        <w:t>Profº</w:t>
      </w:r>
      <w:proofErr w:type="spellEnd"/>
      <w:r w:rsidRPr="009B44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44CC">
        <w:rPr>
          <w:rFonts w:ascii="Calibri" w:hAnsi="Calibri" w:cs="Calibri"/>
          <w:sz w:val="24"/>
          <w:szCs w:val="24"/>
        </w:rPr>
        <w:t>Flamínio</w:t>
      </w:r>
      <w:proofErr w:type="spellEnd"/>
      <w:r w:rsidRPr="009B44CC">
        <w:rPr>
          <w:rFonts w:ascii="Calibri" w:hAnsi="Calibri" w:cs="Calibri"/>
          <w:sz w:val="24"/>
          <w:szCs w:val="24"/>
        </w:rPr>
        <w:t xml:space="preserve"> Fávero, conforme demonstrativo abaixo:</w:t>
      </w:r>
    </w:p>
    <w:p w:rsidR="009B44CC" w:rsidRPr="009B44CC" w:rsidRDefault="009B44CC" w:rsidP="009B44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276"/>
      </w:tblGrid>
      <w:tr w:rsidR="009B44CC" w:rsidRPr="009B44CC" w:rsidTr="0092548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9B44CC" w:rsidRPr="009B44CC" w:rsidTr="0092548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bCs/>
                <w:sz w:val="24"/>
                <w:szCs w:val="24"/>
              </w:rPr>
              <w:t>SECRETARIA DE OBRAS E SERVIÇOS PÚBLICOS</w:t>
            </w:r>
          </w:p>
        </w:tc>
      </w:tr>
      <w:tr w:rsidR="009B44CC" w:rsidRPr="009B44CC" w:rsidTr="0092548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DAS OBRAS PÚBLOICAS</w:t>
            </w:r>
          </w:p>
        </w:tc>
      </w:tr>
      <w:tr w:rsidR="009B44CC" w:rsidRPr="009B44CC" w:rsidTr="0092548E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B44CC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B44CC" w:rsidRPr="009B44CC" w:rsidTr="009254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4CC" w:rsidRPr="009B44CC" w:rsidTr="009254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Infra-Estrutura</w:t>
            </w:r>
            <w:proofErr w:type="spellEnd"/>
            <w:r w:rsidRPr="009B44CC">
              <w:rPr>
                <w:rFonts w:asciiTheme="minorHAnsi" w:hAnsiTheme="minorHAnsi" w:cstheme="minorHAnsi"/>
                <w:sz w:val="24"/>
                <w:szCs w:val="24"/>
              </w:rPr>
              <w:t xml:space="preserve">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B44CC" w:rsidRPr="009B44CC" w:rsidTr="0092548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B44CC" w:rsidRPr="009B44CC" w:rsidTr="009254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44CC" w:rsidRPr="009B44CC" w:rsidTr="0092548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15.451.065.1.050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Recapeamento Asfáltico – Convênio nº 428/2017 – Casa Civil / Subsecretaria de Relacionamento com Municípios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210.387,06</w:t>
            </w:r>
          </w:p>
        </w:tc>
      </w:tr>
      <w:tr w:rsidR="009B44CC" w:rsidRPr="009B44CC" w:rsidTr="0092548E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B44CC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B44CC" w:rsidRPr="009B44CC" w:rsidTr="0092548E">
        <w:trPr>
          <w:cantSplit/>
          <w:trHeight w:val="22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4.4.90.51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200.000,00</w:t>
            </w:r>
          </w:p>
        </w:tc>
      </w:tr>
      <w:tr w:rsidR="009B44CC" w:rsidRPr="009B44CC" w:rsidTr="0092548E">
        <w:trPr>
          <w:cantSplit/>
          <w:trHeight w:val="22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02 – Transferências e Convênios Estaduais - Vinculados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B44CC" w:rsidRPr="009B44CC" w:rsidTr="0092548E">
        <w:trPr>
          <w:cantSplit/>
          <w:trHeight w:val="22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4.4.90.51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bCs/>
                <w:sz w:val="24"/>
                <w:szCs w:val="24"/>
              </w:rPr>
              <w:t>10.387,06</w:t>
            </w:r>
          </w:p>
        </w:tc>
      </w:tr>
      <w:tr w:rsidR="009B44CC" w:rsidRPr="009B44CC" w:rsidTr="0092548E">
        <w:trPr>
          <w:cantSplit/>
          <w:trHeight w:val="224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44CC">
              <w:rPr>
                <w:rFonts w:asciiTheme="minorHAnsi" w:hAnsiTheme="minorHAnsi" w:cstheme="minorHAnsi"/>
                <w:sz w:val="24"/>
                <w:szCs w:val="24"/>
              </w:rPr>
              <w:t xml:space="preserve">01 - </w:t>
            </w:r>
            <w:proofErr w:type="spellStart"/>
            <w:r w:rsidRPr="009B44CC">
              <w:rPr>
                <w:rFonts w:asciiTheme="minorHAnsi" w:hAnsiTheme="minorHAnsi" w:cstheme="minorHAnsi"/>
                <w:sz w:val="24"/>
                <w:szCs w:val="24"/>
              </w:rPr>
              <w:t>Tesouto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C" w:rsidRPr="009B44CC" w:rsidRDefault="009B44CC" w:rsidP="0092548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9B44CC" w:rsidRPr="009B44CC" w:rsidRDefault="009B44CC" w:rsidP="009B44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9B44CC" w:rsidRPr="009B44CC" w:rsidRDefault="009B44CC" w:rsidP="009B44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B44CC">
        <w:rPr>
          <w:rFonts w:ascii="Calibri" w:hAnsi="Calibri" w:cs="Calibri"/>
          <w:sz w:val="24"/>
          <w:szCs w:val="24"/>
        </w:rPr>
        <w:t>Art. 2º O crédito autorizado no artigo anterior será coberto com recursos de excesso de arrecadação, oriundos de repasse da Casa Civil/Subsecretaria de Relacionamento com Municípios – Processo nº 1324568/2017 – Convênio nº 428/2017.</w:t>
      </w:r>
    </w:p>
    <w:p w:rsidR="009B44CC" w:rsidRPr="009B44CC" w:rsidRDefault="009B44CC" w:rsidP="009B44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9B44CC" w:rsidRDefault="009B44CC" w:rsidP="009B44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B44CC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9B44CC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9B44CC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9B44CC" w:rsidRPr="009B44CC" w:rsidRDefault="009B44CC" w:rsidP="009B44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032DD1" w:rsidRDefault="009B44CC" w:rsidP="009B44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B44CC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9B44CC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9B44CC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B44CC" w:rsidRDefault="005A56CA" w:rsidP="00D47EAB">
      <w:pPr>
        <w:ind w:firstLine="2835"/>
        <w:jc w:val="both"/>
        <w:rPr>
          <w:rFonts w:ascii="Calibri" w:hAnsi="Calibri" w:cs="Calibri"/>
          <w:sz w:val="13"/>
          <w:szCs w:val="13"/>
        </w:rPr>
      </w:pPr>
    </w:p>
    <w:p w:rsidR="005A56CA" w:rsidRPr="009B44CC" w:rsidRDefault="005A56CA" w:rsidP="00D47EAB">
      <w:pPr>
        <w:rPr>
          <w:rFonts w:ascii="Calibri" w:hAnsi="Calibri" w:cs="Calibri"/>
          <w:sz w:val="13"/>
          <w:szCs w:val="13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9B44CC">
      <w:headerReference w:type="even" r:id="rId7"/>
      <w:headerReference w:type="default" r:id="rId8"/>
      <w:headerReference w:type="firs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96E6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96E6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96E64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B44CC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94</cp:revision>
  <cp:lastPrinted>2017-04-25T15:43:00Z</cp:lastPrinted>
  <dcterms:created xsi:type="dcterms:W3CDTF">2016-08-16T19:55:00Z</dcterms:created>
  <dcterms:modified xsi:type="dcterms:W3CDTF">2018-02-27T14:54:00Z</dcterms:modified>
</cp:coreProperties>
</file>