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F3B4A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F3B4A">
        <w:rPr>
          <w:rFonts w:ascii="Tahoma" w:hAnsi="Tahoma" w:cs="Tahoma"/>
          <w:b/>
          <w:sz w:val="32"/>
          <w:szCs w:val="32"/>
          <w:u w:val="single"/>
        </w:rPr>
        <w:t>075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F3B4A">
        <w:rPr>
          <w:rFonts w:ascii="Tahoma" w:hAnsi="Tahoma" w:cs="Tahoma"/>
          <w:b/>
          <w:sz w:val="32"/>
          <w:szCs w:val="32"/>
          <w:u w:val="single"/>
        </w:rPr>
        <w:t>086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EF3B4A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EF3B4A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EF3B4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F3B4A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Pr="00EF3B4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877F8D" w:rsidRPr="00EF3B4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3B4A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R$ 235.425,77 (Duzentos e trinta e cinco mil, quatrocentos e vinte cinco reais e setenta e sete centavos), referente aos Incentivos Pontuais para Ações de Serviços de Vigilância em Saúde – IPVS conforme demonstrativo abaixo:</w:t>
      </w: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EF3B4A" w:rsidRPr="00EF3B4A" w:rsidTr="00A717A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F3B4A" w:rsidRPr="00EF3B4A" w:rsidTr="00A717A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F3B4A" w:rsidRPr="00EF3B4A" w:rsidTr="00A717A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F3B4A" w:rsidRPr="00EF3B4A" w:rsidTr="00A717AE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F3B4A" w:rsidRPr="00EF3B4A" w:rsidTr="00A717A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F3B4A" w:rsidRPr="00EF3B4A" w:rsidTr="00A717A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F3B4A" w:rsidRPr="00EF3B4A" w:rsidTr="00A717A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F3B4A" w:rsidRPr="00EF3B4A" w:rsidTr="00A717A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F3B4A" w:rsidRPr="00EF3B4A" w:rsidTr="00A717A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235.425,77</w:t>
            </w:r>
          </w:p>
        </w:tc>
      </w:tr>
      <w:tr w:rsidR="00EF3B4A" w:rsidRPr="00EF3B4A" w:rsidTr="00A717AE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F3B4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F3B4A" w:rsidRPr="00EF3B4A" w:rsidTr="00A717A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EF3B4A" w:rsidRPr="00EF3B4A" w:rsidTr="00A717A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Outros Serviços de Terceiros 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135.425,77</w:t>
            </w:r>
          </w:p>
        </w:tc>
      </w:tr>
      <w:tr w:rsidR="00EF3B4A" w:rsidRPr="00EF3B4A" w:rsidTr="00A717A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4A" w:rsidRPr="00EF3B4A" w:rsidRDefault="00EF3B4A" w:rsidP="00A717A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F3B4A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3B4A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 apurado no presente exercício, de recursos vinculados à saúde, transferidos do Fundo Nacional de Saúde ao Fundo Municipal de Saúde, por meio da</w:t>
      </w:r>
      <w:bookmarkStart w:id="0" w:name="_GoBack"/>
      <w:bookmarkEnd w:id="0"/>
      <w:r w:rsidRPr="00EF3B4A">
        <w:rPr>
          <w:rFonts w:ascii="Calibri" w:hAnsi="Calibri" w:cs="Calibri"/>
          <w:sz w:val="24"/>
          <w:szCs w:val="24"/>
        </w:rPr>
        <w:t xml:space="preserve"> Portaria MS/GM nº 3.129 de 28 de dezembro de 2016, que tem por objetivo a implementação de ações contingenciais de prevenção e controle do vetor Aedes aegypti.</w:t>
      </w: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3B4A">
        <w:rPr>
          <w:rFonts w:ascii="Calibri" w:hAnsi="Calibri" w:cs="Calibri"/>
          <w:sz w:val="24"/>
          <w:szCs w:val="24"/>
        </w:rPr>
        <w:t>Art. 3º Fica incluso o presente crédito adicional suplementar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EF3B4A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EF3B4A" w:rsidRPr="00EF3B4A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032DD1" w:rsidRDefault="00EF3B4A" w:rsidP="00EF3B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5º</w:t>
      </w:r>
      <w:r w:rsidRPr="00EF3B4A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EF3B4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57A0C">
        <w:rPr>
          <w:rFonts w:ascii="Calibri" w:hAnsi="Calibri" w:cs="Calibri"/>
          <w:sz w:val="24"/>
          <w:szCs w:val="24"/>
        </w:rPr>
        <w:t>05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57A0C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EF3B4A" w:rsidRDefault="005A56CA" w:rsidP="00D47EAB">
      <w:pPr>
        <w:ind w:firstLine="2835"/>
        <w:jc w:val="both"/>
        <w:rPr>
          <w:rFonts w:ascii="Calibri" w:hAnsi="Calibri" w:cs="Calibri"/>
          <w:sz w:val="16"/>
          <w:szCs w:val="16"/>
        </w:rPr>
      </w:pPr>
    </w:p>
    <w:p w:rsidR="005A56CA" w:rsidRPr="00EF3B4A" w:rsidRDefault="005A56CA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F3B4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F3B4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EF3B4A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56</cp:revision>
  <cp:lastPrinted>2016-08-16T19:55:00Z</cp:lastPrinted>
  <dcterms:created xsi:type="dcterms:W3CDTF">2016-08-16T19:55:00Z</dcterms:created>
  <dcterms:modified xsi:type="dcterms:W3CDTF">2017-04-04T19:38:00Z</dcterms:modified>
</cp:coreProperties>
</file>