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D4E5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4E50">
        <w:rPr>
          <w:rFonts w:ascii="Tahoma" w:hAnsi="Tahoma" w:cs="Tahoma"/>
          <w:b/>
          <w:sz w:val="32"/>
          <w:szCs w:val="32"/>
          <w:u w:val="single"/>
        </w:rPr>
        <w:t>060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D4E50">
        <w:rPr>
          <w:rFonts w:ascii="Tahoma" w:hAnsi="Tahoma" w:cs="Tahoma"/>
          <w:b/>
          <w:sz w:val="32"/>
          <w:szCs w:val="32"/>
          <w:u w:val="single"/>
        </w:rPr>
        <w:t>071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ED4E50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ED4E50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ED4E5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D4E50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ED4E5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ED4E5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E50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R$ 318.069,21 (Trezentos e dezoito mil, sessenta e nove reais e vinte e </w:t>
      </w:r>
      <w:proofErr w:type="gramStart"/>
      <w:r w:rsidRPr="00ED4E50">
        <w:rPr>
          <w:rFonts w:ascii="Calibri" w:hAnsi="Calibri" w:cs="Calibri"/>
          <w:sz w:val="24"/>
          <w:szCs w:val="24"/>
        </w:rPr>
        <w:t>um centavos</w:t>
      </w:r>
      <w:proofErr w:type="gramEnd"/>
      <w:r w:rsidRPr="00ED4E50">
        <w:rPr>
          <w:rFonts w:ascii="Calibri" w:hAnsi="Calibri" w:cs="Calibri"/>
          <w:sz w:val="24"/>
          <w:szCs w:val="24"/>
        </w:rPr>
        <w:t>), objetivando a manutenção do Programa de Alimentação e Nutrição, conforme demonstrativo abaixo:</w:t>
      </w: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ED4E50" w:rsidRPr="00ED4E50" w:rsidTr="00601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D4E50" w:rsidRPr="00ED4E50" w:rsidTr="00601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D4E50" w:rsidRPr="00ED4E50" w:rsidTr="00601E2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D4E50" w:rsidRPr="00ED4E50" w:rsidTr="00601E2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4E50" w:rsidRPr="00ED4E50" w:rsidTr="00601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4E50" w:rsidRPr="00ED4E50" w:rsidTr="00601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4E50" w:rsidRPr="00ED4E50" w:rsidTr="00601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4E50" w:rsidRPr="00ED4E50" w:rsidTr="00601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D4E50" w:rsidRPr="00ED4E50" w:rsidTr="00601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318.069,21</w:t>
            </w:r>
          </w:p>
        </w:tc>
      </w:tr>
      <w:tr w:rsidR="00ED4E50" w:rsidRPr="00ED4E50" w:rsidTr="00601E2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D4E5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4E50" w:rsidRPr="00ED4E50" w:rsidTr="00601E2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Outros materiais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254.469,21</w:t>
            </w:r>
          </w:p>
        </w:tc>
      </w:tr>
      <w:tr w:rsidR="00ED4E50" w:rsidRPr="00ED4E50" w:rsidTr="00601E2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63.600,00</w:t>
            </w:r>
          </w:p>
        </w:tc>
      </w:tr>
      <w:tr w:rsidR="00ED4E50" w:rsidRPr="00ED4E50" w:rsidTr="00601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50" w:rsidRPr="00ED4E50" w:rsidRDefault="00ED4E50" w:rsidP="00601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E5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E50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 apurado no presente exercício, oriundos de recursos vinculados à saúde, transferidos do Fundo Nacional de Saúde ao Fundo Municipal de Saúde através do Programa de Alimentação e Nutrição (FAN), por meio da Portaria nº 1.941 GM/MS de 12/09/2014.</w:t>
      </w: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E50">
        <w:rPr>
          <w:rFonts w:ascii="Calibri" w:hAnsi="Calibri" w:cs="Calibri"/>
          <w:sz w:val="24"/>
          <w:szCs w:val="24"/>
        </w:rPr>
        <w:t>Art. 3</w:t>
      </w:r>
      <w:r>
        <w:rPr>
          <w:rFonts w:ascii="Calibri" w:hAnsi="Calibri" w:cs="Calibri"/>
          <w:sz w:val="24"/>
          <w:szCs w:val="24"/>
        </w:rPr>
        <w:t>º</w:t>
      </w:r>
      <w:r w:rsidRPr="00ED4E50">
        <w:rPr>
          <w:rFonts w:ascii="Calibri" w:hAnsi="Calibri" w:cs="Calibri"/>
          <w:sz w:val="24"/>
          <w:szCs w:val="24"/>
        </w:rPr>
        <w:t xml:space="preserve"> Fica incluso o presente crédito adicional especial na Lei nº 8.075, de 22 de novembro de 2013 (Plano Plurianual - PPA), L</w:t>
      </w:r>
      <w:bookmarkStart w:id="0" w:name="_GoBack"/>
      <w:bookmarkEnd w:id="0"/>
      <w:r w:rsidRPr="00ED4E50">
        <w:rPr>
          <w:rFonts w:ascii="Calibri" w:hAnsi="Calibri" w:cs="Calibri"/>
          <w:sz w:val="24"/>
          <w:szCs w:val="24"/>
        </w:rPr>
        <w:t>ei nº 8.753, de 19 de julho de 2016 (Lei de Diretrizes Orçamentárias - LDO) e na Lei nº 8.864, de 16 de novembro de 2016 (Lei Orçamentária Anual - LOA).</w:t>
      </w: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E50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ED4E50" w:rsidRPr="00ED4E50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ED4E50" w:rsidP="00ED4E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E50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ED4E5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D4E50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ED4E50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ED4E50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4E5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4E5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D4E50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2017-03-28T14:30:00Z</dcterms:modified>
</cp:coreProperties>
</file>